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6435F" w14:textId="7A108B3E" w:rsidR="00D5036B" w:rsidRPr="00A4337D" w:rsidRDefault="00D5036B" w:rsidP="00A4337D">
      <w:pPr>
        <w:spacing w:before="16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4337D">
        <w:rPr>
          <w:rFonts w:ascii="Arial" w:hAnsi="Arial" w:cs="Arial"/>
          <w:b/>
          <w:bCs/>
          <w:sz w:val="24"/>
          <w:szCs w:val="24"/>
        </w:rPr>
        <w:t xml:space="preserve">Zámer </w:t>
      </w:r>
      <w:r w:rsidR="0020536D" w:rsidRPr="00A4337D">
        <w:rPr>
          <w:rFonts w:ascii="Arial" w:hAnsi="Arial" w:cs="Arial"/>
          <w:b/>
          <w:bCs/>
          <w:sz w:val="24"/>
          <w:szCs w:val="24"/>
        </w:rPr>
        <w:t xml:space="preserve">na </w:t>
      </w:r>
      <w:r w:rsidR="00800299" w:rsidRPr="00A4337D">
        <w:rPr>
          <w:rFonts w:ascii="Arial" w:hAnsi="Arial" w:cs="Arial"/>
          <w:b/>
          <w:bCs/>
          <w:sz w:val="24"/>
          <w:szCs w:val="24"/>
        </w:rPr>
        <w:t>pre</w:t>
      </w:r>
      <w:r w:rsidR="0016150F" w:rsidRPr="00A4337D">
        <w:rPr>
          <w:rFonts w:ascii="Arial" w:hAnsi="Arial" w:cs="Arial"/>
          <w:b/>
          <w:bCs/>
          <w:sz w:val="24"/>
          <w:szCs w:val="24"/>
        </w:rPr>
        <w:t>vod</w:t>
      </w:r>
      <w:r w:rsidR="00800299" w:rsidRPr="00A4337D">
        <w:rPr>
          <w:rFonts w:ascii="Arial" w:hAnsi="Arial" w:cs="Arial"/>
          <w:b/>
          <w:bCs/>
          <w:sz w:val="24"/>
          <w:szCs w:val="24"/>
        </w:rPr>
        <w:t xml:space="preserve"> </w:t>
      </w:r>
      <w:r w:rsidRPr="00A4337D">
        <w:rPr>
          <w:rFonts w:ascii="Arial" w:hAnsi="Arial" w:cs="Arial"/>
          <w:b/>
          <w:bCs/>
          <w:sz w:val="24"/>
          <w:szCs w:val="24"/>
        </w:rPr>
        <w:t>majet</w:t>
      </w:r>
      <w:r w:rsidR="006C2847" w:rsidRPr="00A4337D">
        <w:rPr>
          <w:rFonts w:ascii="Arial" w:hAnsi="Arial" w:cs="Arial"/>
          <w:b/>
          <w:bCs/>
          <w:sz w:val="24"/>
          <w:szCs w:val="24"/>
        </w:rPr>
        <w:t xml:space="preserve">ku mesta </w:t>
      </w:r>
      <w:r w:rsidR="007E3D1F" w:rsidRPr="00A4337D">
        <w:rPr>
          <w:rFonts w:ascii="Arial" w:hAnsi="Arial" w:cs="Arial"/>
          <w:b/>
          <w:bCs/>
          <w:sz w:val="24"/>
          <w:szCs w:val="24"/>
        </w:rPr>
        <w:t xml:space="preserve">formou zámeny </w:t>
      </w:r>
      <w:r w:rsidRPr="00A4337D">
        <w:rPr>
          <w:rFonts w:ascii="Arial" w:hAnsi="Arial" w:cs="Arial"/>
          <w:b/>
          <w:bCs/>
          <w:sz w:val="24"/>
          <w:szCs w:val="24"/>
        </w:rPr>
        <w:t xml:space="preserve">v zmysle ustanovenia </w:t>
      </w:r>
      <w:r w:rsidR="006C2847" w:rsidRPr="00A4337D">
        <w:rPr>
          <w:rFonts w:ascii="Arial" w:hAnsi="Arial" w:cs="Arial"/>
          <w:b/>
          <w:bCs/>
          <w:sz w:val="24"/>
          <w:szCs w:val="24"/>
        </w:rPr>
        <w:t xml:space="preserve">§9a ods. </w:t>
      </w:r>
      <w:r w:rsidR="00800299" w:rsidRPr="00A4337D">
        <w:rPr>
          <w:rFonts w:ascii="Arial" w:hAnsi="Arial" w:cs="Arial"/>
          <w:b/>
          <w:bCs/>
          <w:sz w:val="24"/>
          <w:szCs w:val="24"/>
        </w:rPr>
        <w:t>15</w:t>
      </w:r>
      <w:r w:rsidR="006C2847" w:rsidRPr="00A4337D">
        <w:rPr>
          <w:rFonts w:ascii="Arial" w:hAnsi="Arial" w:cs="Arial"/>
          <w:b/>
          <w:bCs/>
          <w:sz w:val="24"/>
          <w:szCs w:val="24"/>
        </w:rPr>
        <w:t xml:space="preserve"> písm. </w:t>
      </w:r>
      <w:r w:rsidR="00800299" w:rsidRPr="00A4337D">
        <w:rPr>
          <w:rFonts w:ascii="Arial" w:hAnsi="Arial" w:cs="Arial"/>
          <w:b/>
          <w:bCs/>
          <w:sz w:val="24"/>
          <w:szCs w:val="24"/>
        </w:rPr>
        <w:t>f</w:t>
      </w:r>
      <w:r w:rsidR="006C2847" w:rsidRPr="00A4337D">
        <w:rPr>
          <w:rFonts w:ascii="Arial" w:hAnsi="Arial" w:cs="Arial"/>
          <w:b/>
          <w:bCs/>
          <w:sz w:val="24"/>
          <w:szCs w:val="24"/>
        </w:rPr>
        <w:t xml:space="preserve">) zákona č. 138/1991 Zb. o majetku obcí v znení neskorších predpisov </w:t>
      </w:r>
    </w:p>
    <w:p w14:paraId="0AB6C41D" w14:textId="3FA9F390" w:rsidR="0020536D" w:rsidRPr="00C4284D" w:rsidRDefault="00D5036B" w:rsidP="00A4337D">
      <w:pPr>
        <w:spacing w:before="16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C4284D">
        <w:rPr>
          <w:rFonts w:ascii="Arial" w:hAnsi="Arial" w:cs="Arial"/>
          <w:sz w:val="24"/>
          <w:szCs w:val="24"/>
        </w:rPr>
        <w:t xml:space="preserve">Mesto Trnava v súlade s ustanovením </w:t>
      </w:r>
      <w:r w:rsidR="009252A2" w:rsidRPr="00C4284D">
        <w:rPr>
          <w:rFonts w:ascii="Arial" w:hAnsi="Arial" w:cs="Arial"/>
          <w:sz w:val="24"/>
          <w:szCs w:val="24"/>
        </w:rPr>
        <w:t>§</w:t>
      </w:r>
      <w:r w:rsidR="0016150F" w:rsidRPr="00C4284D">
        <w:rPr>
          <w:rFonts w:ascii="Arial" w:hAnsi="Arial" w:cs="Arial"/>
          <w:sz w:val="24"/>
          <w:szCs w:val="24"/>
        </w:rPr>
        <w:t xml:space="preserve"> </w:t>
      </w:r>
      <w:r w:rsidR="009252A2" w:rsidRPr="00C4284D">
        <w:rPr>
          <w:rFonts w:ascii="Arial" w:hAnsi="Arial" w:cs="Arial"/>
          <w:sz w:val="24"/>
          <w:szCs w:val="24"/>
        </w:rPr>
        <w:t>9 ods. 2 písm. a)</w:t>
      </w:r>
      <w:r w:rsidR="00A4337D" w:rsidRPr="00C4284D">
        <w:rPr>
          <w:rFonts w:ascii="Arial" w:hAnsi="Arial" w:cs="Arial"/>
          <w:sz w:val="24"/>
          <w:szCs w:val="24"/>
        </w:rPr>
        <w:t xml:space="preserve"> </w:t>
      </w:r>
      <w:r w:rsidR="009252A2" w:rsidRPr="00C4284D">
        <w:rPr>
          <w:rFonts w:ascii="Arial" w:hAnsi="Arial" w:cs="Arial"/>
          <w:sz w:val="24"/>
          <w:szCs w:val="24"/>
        </w:rPr>
        <w:t>a</w:t>
      </w:r>
      <w:r w:rsidR="00A4337D" w:rsidRPr="00C4284D">
        <w:rPr>
          <w:rFonts w:ascii="Arial" w:hAnsi="Arial" w:cs="Arial"/>
          <w:sz w:val="24"/>
          <w:szCs w:val="24"/>
        </w:rPr>
        <w:t xml:space="preserve"> </w:t>
      </w:r>
      <w:r w:rsidR="006C2847" w:rsidRPr="00C4284D">
        <w:rPr>
          <w:rFonts w:ascii="Arial" w:hAnsi="Arial" w:cs="Arial"/>
          <w:sz w:val="24"/>
          <w:szCs w:val="24"/>
        </w:rPr>
        <w:t>§</w:t>
      </w:r>
      <w:r w:rsidR="0016150F" w:rsidRPr="00C4284D">
        <w:rPr>
          <w:rFonts w:ascii="Arial" w:hAnsi="Arial" w:cs="Arial"/>
          <w:sz w:val="24"/>
          <w:szCs w:val="24"/>
        </w:rPr>
        <w:t xml:space="preserve"> </w:t>
      </w:r>
      <w:r w:rsidR="006C2847" w:rsidRPr="00C4284D">
        <w:rPr>
          <w:rFonts w:ascii="Arial" w:hAnsi="Arial" w:cs="Arial"/>
          <w:sz w:val="24"/>
          <w:szCs w:val="24"/>
        </w:rPr>
        <w:t xml:space="preserve">9a ods. </w:t>
      </w:r>
      <w:r w:rsidR="00800299" w:rsidRPr="00C4284D">
        <w:rPr>
          <w:rFonts w:ascii="Arial" w:hAnsi="Arial" w:cs="Arial"/>
          <w:sz w:val="24"/>
          <w:szCs w:val="24"/>
        </w:rPr>
        <w:t>15</w:t>
      </w:r>
      <w:r w:rsidR="006C2847" w:rsidRPr="00C4284D">
        <w:rPr>
          <w:rFonts w:ascii="Arial" w:hAnsi="Arial" w:cs="Arial"/>
          <w:sz w:val="24"/>
          <w:szCs w:val="24"/>
        </w:rPr>
        <w:t xml:space="preserve"> písm. </w:t>
      </w:r>
      <w:r w:rsidR="00800299" w:rsidRPr="00C4284D">
        <w:rPr>
          <w:rFonts w:ascii="Arial" w:hAnsi="Arial" w:cs="Arial"/>
          <w:sz w:val="24"/>
          <w:szCs w:val="24"/>
        </w:rPr>
        <w:t>f</w:t>
      </w:r>
      <w:r w:rsidR="006C2847" w:rsidRPr="00C4284D">
        <w:rPr>
          <w:rFonts w:ascii="Arial" w:hAnsi="Arial" w:cs="Arial"/>
          <w:sz w:val="24"/>
          <w:szCs w:val="24"/>
        </w:rPr>
        <w:t xml:space="preserve">) zákona č. </w:t>
      </w:r>
      <w:r w:rsidR="00A4337D" w:rsidRPr="00C4284D">
        <w:rPr>
          <w:rFonts w:ascii="Arial" w:hAnsi="Arial" w:cs="Arial"/>
          <w:sz w:val="24"/>
          <w:szCs w:val="24"/>
        </w:rPr>
        <w:t> </w:t>
      </w:r>
      <w:r w:rsidR="006C2847" w:rsidRPr="00C4284D">
        <w:rPr>
          <w:rFonts w:ascii="Arial" w:hAnsi="Arial" w:cs="Arial"/>
          <w:sz w:val="24"/>
          <w:szCs w:val="24"/>
        </w:rPr>
        <w:t>138/1991 Zb. o majetku obcí v znení neskorších predpisov</w:t>
      </w:r>
      <w:r w:rsidR="00A4337D" w:rsidRPr="00C4284D">
        <w:rPr>
          <w:rFonts w:ascii="Arial" w:hAnsi="Arial" w:cs="Arial"/>
          <w:sz w:val="24"/>
          <w:szCs w:val="24"/>
        </w:rPr>
        <w:t xml:space="preserve"> </w:t>
      </w:r>
      <w:r w:rsidRPr="00C4284D">
        <w:rPr>
          <w:rFonts w:ascii="Arial" w:hAnsi="Arial" w:cs="Arial"/>
          <w:sz w:val="24"/>
          <w:szCs w:val="24"/>
        </w:rPr>
        <w:t xml:space="preserve">zverejňuje zámer </w:t>
      </w:r>
      <w:r w:rsidR="00B20A5F" w:rsidRPr="00C4284D">
        <w:rPr>
          <w:rFonts w:ascii="Arial" w:hAnsi="Arial" w:cs="Arial"/>
          <w:sz w:val="24"/>
          <w:szCs w:val="24"/>
        </w:rPr>
        <w:t xml:space="preserve">na </w:t>
      </w:r>
      <w:r w:rsidR="00800299" w:rsidRPr="00C4284D">
        <w:rPr>
          <w:rFonts w:ascii="Arial" w:hAnsi="Arial" w:cs="Arial"/>
          <w:sz w:val="24"/>
          <w:szCs w:val="24"/>
        </w:rPr>
        <w:t>pr</w:t>
      </w:r>
      <w:r w:rsidR="0016150F" w:rsidRPr="00C4284D">
        <w:rPr>
          <w:rFonts w:ascii="Arial" w:hAnsi="Arial" w:cs="Arial"/>
          <w:sz w:val="24"/>
          <w:szCs w:val="24"/>
        </w:rPr>
        <w:t xml:space="preserve">evod </w:t>
      </w:r>
      <w:r w:rsidR="00800299" w:rsidRPr="00C4284D">
        <w:rPr>
          <w:rFonts w:ascii="Arial" w:hAnsi="Arial" w:cs="Arial"/>
          <w:sz w:val="24"/>
          <w:szCs w:val="24"/>
        </w:rPr>
        <w:t xml:space="preserve">majetku mesta formou zámeny </w:t>
      </w:r>
      <w:r w:rsidR="00800299" w:rsidRPr="00C4284D">
        <w:rPr>
          <w:rFonts w:ascii="Arial" w:eastAsia="Calibri" w:hAnsi="Arial" w:cs="Arial"/>
          <w:sz w:val="24"/>
          <w:szCs w:val="24"/>
        </w:rPr>
        <w:t>nehnuteľností</w:t>
      </w:r>
      <w:bookmarkStart w:id="0" w:name="_Ref99180680"/>
      <w:r w:rsidR="00B20A5F" w:rsidRPr="00C4284D">
        <w:rPr>
          <w:rFonts w:ascii="Arial" w:eastAsia="Calibri" w:hAnsi="Arial" w:cs="Arial"/>
          <w:sz w:val="24"/>
          <w:szCs w:val="24"/>
        </w:rPr>
        <w:t xml:space="preserve"> </w:t>
      </w:r>
      <w:r w:rsidR="0020536D" w:rsidRPr="00C4284D">
        <w:rPr>
          <w:rFonts w:ascii="Arial" w:hAnsi="Arial" w:cs="Arial"/>
          <w:sz w:val="24"/>
          <w:szCs w:val="24"/>
        </w:rPr>
        <w:t xml:space="preserve">z dôvodu hodného osobitného zreteľa, a to </w:t>
      </w:r>
      <w:r w:rsidR="0020536D" w:rsidRPr="00560360">
        <w:rPr>
          <w:rFonts w:ascii="Arial" w:hAnsi="Arial" w:cs="Arial"/>
          <w:b/>
          <w:bCs/>
          <w:sz w:val="24"/>
          <w:szCs w:val="24"/>
        </w:rPr>
        <w:t xml:space="preserve">zámenou </w:t>
      </w:r>
      <w:r w:rsidR="0020536D" w:rsidRPr="00560360">
        <w:rPr>
          <w:rStyle w:val="CharStyle11"/>
          <w:rFonts w:ascii="Arial" w:eastAsia="Calibri" w:hAnsi="Arial" w:cs="Arial"/>
          <w:b w:val="0"/>
          <w:bCs w:val="0"/>
          <w:color w:val="auto"/>
        </w:rPr>
        <w:t>pozemkov z vlastníctva Mesta Trnava</w:t>
      </w:r>
      <w:r w:rsidR="007B01EB" w:rsidRPr="00560360">
        <w:rPr>
          <w:rStyle w:val="CharStyle11"/>
          <w:rFonts w:ascii="Arial" w:eastAsia="Calibri" w:hAnsi="Arial" w:cs="Arial"/>
          <w:b w:val="0"/>
          <w:bCs w:val="0"/>
          <w:color w:val="auto"/>
        </w:rPr>
        <w:t>, Hlavná 1, 917 71 Trnava, IČO 00 313 114,</w:t>
      </w:r>
      <w:r w:rsidR="0020536D" w:rsidRPr="00560360">
        <w:rPr>
          <w:rStyle w:val="CharStyle11"/>
          <w:rFonts w:ascii="Arial" w:eastAsia="Calibri" w:hAnsi="Arial" w:cs="Arial"/>
          <w:b w:val="0"/>
          <w:bCs w:val="0"/>
          <w:color w:val="auto"/>
        </w:rPr>
        <w:t xml:space="preserve"> v k. ú. Trnava,</w:t>
      </w:r>
      <w:r w:rsidR="0020536D" w:rsidRPr="00560360">
        <w:rPr>
          <w:rStyle w:val="CharStyle11"/>
          <w:rFonts w:ascii="Arial" w:eastAsia="Calibri" w:hAnsi="Arial" w:cs="Arial"/>
          <w:b w:val="0"/>
          <w:bCs w:val="0"/>
          <w:color w:val="FF0000"/>
        </w:rPr>
        <w:t xml:space="preserve"> </w:t>
      </w:r>
      <w:r w:rsidR="0020536D" w:rsidRPr="00560360">
        <w:rPr>
          <w:rStyle w:val="CharStyle11"/>
          <w:rFonts w:ascii="Arial" w:eastAsia="Calibri" w:hAnsi="Arial" w:cs="Arial"/>
          <w:b w:val="0"/>
          <w:bCs w:val="0"/>
          <w:color w:val="auto"/>
        </w:rPr>
        <w:t xml:space="preserve">parc. registra „C“ parc.č. 8400/169 </w:t>
      </w:r>
      <w:r w:rsidR="0020536D" w:rsidRPr="00560360">
        <w:rPr>
          <w:rFonts w:ascii="Arial" w:hAnsi="Arial" w:cs="Arial"/>
          <w:sz w:val="24"/>
          <w:szCs w:val="24"/>
        </w:rPr>
        <w:t>orná</w:t>
      </w:r>
      <w:r w:rsidR="0020536D" w:rsidRPr="00C4284D">
        <w:rPr>
          <w:rFonts w:ascii="Arial" w:hAnsi="Arial" w:cs="Arial"/>
          <w:sz w:val="24"/>
          <w:szCs w:val="24"/>
        </w:rPr>
        <w:t xml:space="preserve"> pôda s výmerou 736 m</w:t>
      </w:r>
      <w:r w:rsidR="0020536D" w:rsidRPr="00C4284D">
        <w:rPr>
          <w:rFonts w:ascii="Arial" w:hAnsi="Arial" w:cs="Arial"/>
          <w:sz w:val="24"/>
          <w:szCs w:val="24"/>
          <w:vertAlign w:val="superscript"/>
        </w:rPr>
        <w:t>2</w:t>
      </w:r>
      <w:r w:rsidR="0020536D" w:rsidRPr="00C4284D">
        <w:rPr>
          <w:rFonts w:ascii="Arial" w:hAnsi="Arial" w:cs="Arial"/>
          <w:sz w:val="24"/>
          <w:szCs w:val="24"/>
        </w:rPr>
        <w:t xml:space="preserve">, parc.č. </w:t>
      </w:r>
      <w:r w:rsidR="00AE0692">
        <w:rPr>
          <w:rFonts w:ascii="Arial" w:hAnsi="Arial" w:cs="Arial"/>
          <w:sz w:val="24"/>
          <w:szCs w:val="24"/>
        </w:rPr>
        <w:t> </w:t>
      </w:r>
      <w:r w:rsidR="0020536D" w:rsidRPr="00C4284D">
        <w:rPr>
          <w:rFonts w:ascii="Arial" w:hAnsi="Arial" w:cs="Arial"/>
          <w:sz w:val="24"/>
          <w:szCs w:val="24"/>
        </w:rPr>
        <w:t>8400/170 orná pôda s výmerou 28 m</w:t>
      </w:r>
      <w:r w:rsidR="0020536D" w:rsidRPr="00C4284D">
        <w:rPr>
          <w:rFonts w:ascii="Arial" w:hAnsi="Arial" w:cs="Arial"/>
          <w:sz w:val="24"/>
          <w:szCs w:val="24"/>
          <w:vertAlign w:val="superscript"/>
        </w:rPr>
        <w:t>2</w:t>
      </w:r>
      <w:r w:rsidR="0020536D" w:rsidRPr="00C4284D">
        <w:rPr>
          <w:rFonts w:ascii="Arial" w:hAnsi="Arial" w:cs="Arial"/>
          <w:sz w:val="24"/>
          <w:szCs w:val="24"/>
        </w:rPr>
        <w:t>, parc.č. 8400/171 orná pôda s výmerou 164 m</w:t>
      </w:r>
      <w:r w:rsidR="0020536D" w:rsidRPr="00C4284D">
        <w:rPr>
          <w:rFonts w:ascii="Arial" w:hAnsi="Arial" w:cs="Arial"/>
          <w:sz w:val="24"/>
          <w:szCs w:val="24"/>
          <w:vertAlign w:val="superscript"/>
        </w:rPr>
        <w:t>2</w:t>
      </w:r>
      <w:r w:rsidR="0020536D" w:rsidRPr="00C4284D">
        <w:rPr>
          <w:rFonts w:ascii="Arial" w:hAnsi="Arial" w:cs="Arial"/>
          <w:sz w:val="24"/>
          <w:szCs w:val="24"/>
        </w:rPr>
        <w:t>, parc.č. 9076/47 zastavaná plocha a nádvorie s výmerou 139 m</w:t>
      </w:r>
      <w:r w:rsidR="0020536D" w:rsidRPr="00C4284D">
        <w:rPr>
          <w:rFonts w:ascii="Arial" w:hAnsi="Arial" w:cs="Arial"/>
          <w:sz w:val="24"/>
          <w:szCs w:val="24"/>
          <w:vertAlign w:val="superscript"/>
        </w:rPr>
        <w:t>2</w:t>
      </w:r>
      <w:r w:rsidR="0020536D" w:rsidRPr="00C4284D">
        <w:rPr>
          <w:rFonts w:ascii="Arial" w:hAnsi="Arial" w:cs="Arial"/>
          <w:sz w:val="24"/>
          <w:szCs w:val="24"/>
        </w:rPr>
        <w:t>, parc.č. 9076/48 zastavaná plocha a nádvorie s výmerou 67 m</w:t>
      </w:r>
      <w:r w:rsidR="0020536D" w:rsidRPr="00C4284D">
        <w:rPr>
          <w:rFonts w:ascii="Arial" w:hAnsi="Arial" w:cs="Arial"/>
          <w:sz w:val="24"/>
          <w:szCs w:val="24"/>
          <w:vertAlign w:val="superscript"/>
        </w:rPr>
        <w:t>2</w:t>
      </w:r>
      <w:r w:rsidR="0020536D" w:rsidRPr="00C4284D">
        <w:rPr>
          <w:rFonts w:ascii="Arial" w:hAnsi="Arial" w:cs="Arial"/>
          <w:sz w:val="24"/>
          <w:szCs w:val="24"/>
        </w:rPr>
        <w:t>, zapísaných na LV č. 5000, s celkovou výmerou 1134 m</w:t>
      </w:r>
      <w:r w:rsidR="0020536D" w:rsidRPr="00C4284D">
        <w:rPr>
          <w:rFonts w:ascii="Arial" w:hAnsi="Arial" w:cs="Arial"/>
          <w:sz w:val="24"/>
          <w:szCs w:val="24"/>
          <w:vertAlign w:val="superscript"/>
        </w:rPr>
        <w:t>2</w:t>
      </w:r>
      <w:r w:rsidR="0020536D" w:rsidRPr="00C4284D">
        <w:rPr>
          <w:rFonts w:ascii="Arial" w:hAnsi="Arial" w:cs="Arial"/>
          <w:sz w:val="24"/>
          <w:szCs w:val="24"/>
        </w:rPr>
        <w:t xml:space="preserve">, ktorých všeobecná hodnota bola stanovená znaleckým posudkom č. </w:t>
      </w:r>
      <w:r w:rsidR="00A4337D" w:rsidRPr="00C4284D">
        <w:rPr>
          <w:rFonts w:ascii="Arial" w:hAnsi="Arial" w:cs="Arial"/>
          <w:sz w:val="24"/>
          <w:szCs w:val="24"/>
        </w:rPr>
        <w:t> </w:t>
      </w:r>
      <w:r w:rsidR="0020536D" w:rsidRPr="00C4284D">
        <w:rPr>
          <w:rFonts w:ascii="Arial" w:hAnsi="Arial" w:cs="Arial"/>
          <w:sz w:val="24"/>
          <w:szCs w:val="24"/>
        </w:rPr>
        <w:t>162/2024 zo dňa 7.8.2024 vyhotoveným Ing. Tomášom Nádaským, znalcom v odbore stavebníctvo, odvetvie Pozemné stavby a Odhad hodnoty nehnuteľností na 84.100,- eur do vlastníctva L REAL, s.r.o., Novonosická 1861/144, Púchov, IČO 36 771 333,</w:t>
      </w:r>
      <w:r w:rsidR="00A4337D" w:rsidRPr="00C4284D">
        <w:rPr>
          <w:rFonts w:ascii="Arial" w:hAnsi="Arial" w:cs="Arial"/>
          <w:sz w:val="24"/>
          <w:szCs w:val="24"/>
        </w:rPr>
        <w:t xml:space="preserve"> </w:t>
      </w:r>
      <w:r w:rsidR="0020536D" w:rsidRPr="00C4284D">
        <w:rPr>
          <w:rFonts w:ascii="Arial" w:hAnsi="Arial" w:cs="Arial"/>
          <w:sz w:val="24"/>
          <w:szCs w:val="24"/>
        </w:rPr>
        <w:t>za pozemky z</w:t>
      </w:r>
      <w:r w:rsidR="00A4337D" w:rsidRPr="00C4284D">
        <w:rPr>
          <w:rFonts w:ascii="Arial" w:hAnsi="Arial" w:cs="Arial"/>
          <w:sz w:val="24"/>
          <w:szCs w:val="24"/>
        </w:rPr>
        <w:t xml:space="preserve"> </w:t>
      </w:r>
      <w:r w:rsidR="0020536D" w:rsidRPr="00C4284D">
        <w:rPr>
          <w:rFonts w:ascii="Arial" w:hAnsi="Arial" w:cs="Arial"/>
          <w:sz w:val="24"/>
          <w:szCs w:val="24"/>
        </w:rPr>
        <w:t>vlastníctva L REAL, s.r.o., Novonosická 1861/144, Púchov, IČO 36 771 333, v k. ú. Trnava</w:t>
      </w:r>
      <w:r w:rsidR="00A4337D" w:rsidRPr="00C4284D">
        <w:rPr>
          <w:rFonts w:ascii="Arial" w:hAnsi="Arial" w:cs="Arial"/>
          <w:sz w:val="24"/>
          <w:szCs w:val="24"/>
        </w:rPr>
        <w:t xml:space="preserve"> </w:t>
      </w:r>
      <w:r w:rsidR="0020536D" w:rsidRPr="00C4284D">
        <w:rPr>
          <w:rFonts w:ascii="Arial" w:hAnsi="Arial" w:cs="Arial"/>
          <w:sz w:val="24"/>
          <w:szCs w:val="24"/>
        </w:rPr>
        <w:t>parc.reg.“C“, všetky druh pozemku zast.pl.: parc.č. 8399/148 s výmerou 116 m</w:t>
      </w:r>
      <w:r w:rsidR="0020536D" w:rsidRPr="00C4284D">
        <w:rPr>
          <w:rFonts w:ascii="Arial" w:hAnsi="Arial" w:cs="Arial"/>
          <w:sz w:val="24"/>
          <w:szCs w:val="24"/>
          <w:vertAlign w:val="superscript"/>
        </w:rPr>
        <w:t>2</w:t>
      </w:r>
      <w:r w:rsidR="0020536D" w:rsidRPr="00C4284D">
        <w:rPr>
          <w:rFonts w:ascii="Arial" w:hAnsi="Arial" w:cs="Arial"/>
          <w:sz w:val="24"/>
          <w:szCs w:val="24"/>
        </w:rPr>
        <w:t>, parc.č. 8399/301 s výmerou 122 m</w:t>
      </w:r>
      <w:r w:rsidR="0020536D" w:rsidRPr="00C4284D">
        <w:rPr>
          <w:rFonts w:ascii="Arial" w:hAnsi="Arial" w:cs="Arial"/>
          <w:sz w:val="24"/>
          <w:szCs w:val="24"/>
          <w:vertAlign w:val="superscript"/>
        </w:rPr>
        <w:t>2</w:t>
      </w:r>
      <w:r w:rsidR="0020536D" w:rsidRPr="00C4284D">
        <w:rPr>
          <w:rFonts w:ascii="Arial" w:hAnsi="Arial" w:cs="Arial"/>
          <w:sz w:val="24"/>
          <w:szCs w:val="24"/>
        </w:rPr>
        <w:t>, parc.č. 8399/306 s výmerou 19 m</w:t>
      </w:r>
      <w:r w:rsidR="0020536D" w:rsidRPr="00C4284D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="0020536D" w:rsidRPr="00C4284D">
        <w:rPr>
          <w:rFonts w:ascii="Arial" w:hAnsi="Arial" w:cs="Arial"/>
          <w:sz w:val="24"/>
          <w:szCs w:val="24"/>
        </w:rPr>
        <w:t>a parc.č. 8399/307 s výmerou 9 m</w:t>
      </w:r>
      <w:r w:rsidR="0020536D" w:rsidRPr="00C4284D">
        <w:rPr>
          <w:rFonts w:ascii="Arial" w:hAnsi="Arial" w:cs="Arial"/>
          <w:sz w:val="24"/>
          <w:szCs w:val="24"/>
          <w:vertAlign w:val="superscript"/>
        </w:rPr>
        <w:t>2</w:t>
      </w:r>
      <w:r w:rsidR="0020536D" w:rsidRPr="00C4284D">
        <w:rPr>
          <w:rFonts w:ascii="Arial" w:hAnsi="Arial" w:cs="Arial"/>
          <w:sz w:val="24"/>
          <w:szCs w:val="24"/>
        </w:rPr>
        <w:t>, oddelených z pozemku parc.reg.“C“ parc.č. 8399/148 zastavaná plocha a nádvorie, zapís.na LV č. 6511, parc.č. 8400/175 s výmerou 15 m</w:t>
      </w:r>
      <w:r w:rsidR="0020536D" w:rsidRPr="00C4284D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="0020536D" w:rsidRPr="00C4284D">
        <w:rPr>
          <w:rFonts w:ascii="Arial" w:hAnsi="Arial" w:cs="Arial"/>
          <w:sz w:val="24"/>
          <w:szCs w:val="24"/>
        </w:rPr>
        <w:t>a parc.č. 8400/176 s výmerou 2 m</w:t>
      </w:r>
      <w:r w:rsidR="0020536D" w:rsidRPr="00C4284D">
        <w:rPr>
          <w:rFonts w:ascii="Arial" w:hAnsi="Arial" w:cs="Arial"/>
          <w:sz w:val="24"/>
          <w:szCs w:val="24"/>
          <w:vertAlign w:val="superscript"/>
        </w:rPr>
        <w:t>2</w:t>
      </w:r>
      <w:r w:rsidR="0020536D" w:rsidRPr="00C4284D">
        <w:rPr>
          <w:rFonts w:ascii="Arial" w:hAnsi="Arial" w:cs="Arial"/>
          <w:sz w:val="24"/>
          <w:szCs w:val="24"/>
        </w:rPr>
        <w:t>, oddelených z pozemku parc.reg.“C“ parc.č. 8400/155 orná pôda zapís. na LV č. 6613, parc.č. 8400/158 s výmerou 12 m</w:t>
      </w:r>
      <w:r w:rsidR="0020536D" w:rsidRPr="00C4284D">
        <w:rPr>
          <w:rFonts w:ascii="Arial" w:hAnsi="Arial" w:cs="Arial"/>
          <w:sz w:val="24"/>
          <w:szCs w:val="24"/>
          <w:vertAlign w:val="superscript"/>
        </w:rPr>
        <w:t>2</w:t>
      </w:r>
      <w:r w:rsidR="0020536D" w:rsidRPr="00C4284D">
        <w:rPr>
          <w:rFonts w:ascii="Arial" w:hAnsi="Arial" w:cs="Arial"/>
          <w:sz w:val="24"/>
          <w:szCs w:val="24"/>
        </w:rPr>
        <w:t xml:space="preserve"> a parc.č. 8400/177 s výmerou 20 m</w:t>
      </w:r>
      <w:r w:rsidR="0020536D" w:rsidRPr="00C4284D">
        <w:rPr>
          <w:rFonts w:ascii="Arial" w:hAnsi="Arial" w:cs="Arial"/>
          <w:sz w:val="24"/>
          <w:szCs w:val="24"/>
          <w:vertAlign w:val="superscript"/>
        </w:rPr>
        <w:t>2</w:t>
      </w:r>
      <w:r w:rsidR="0020536D" w:rsidRPr="00C4284D">
        <w:rPr>
          <w:rFonts w:ascii="Arial" w:hAnsi="Arial" w:cs="Arial"/>
          <w:sz w:val="24"/>
          <w:szCs w:val="24"/>
        </w:rPr>
        <w:t>, oddelených z pozemku parc.reg.“C“ parc.č. 8400/158, orná pôda, zapís. na LV č. 6614, parc.č. 8399/259 s výmerou 13 m</w:t>
      </w:r>
      <w:r w:rsidR="0020536D" w:rsidRPr="00C4284D">
        <w:rPr>
          <w:rFonts w:ascii="Arial" w:hAnsi="Arial" w:cs="Arial"/>
          <w:sz w:val="24"/>
          <w:szCs w:val="24"/>
          <w:vertAlign w:val="superscript"/>
        </w:rPr>
        <w:t>2</w:t>
      </w:r>
      <w:r w:rsidR="0020536D" w:rsidRPr="00C4284D">
        <w:rPr>
          <w:rFonts w:ascii="Arial" w:hAnsi="Arial" w:cs="Arial"/>
          <w:sz w:val="24"/>
          <w:szCs w:val="24"/>
        </w:rPr>
        <w:t>, oddeleného z pozemku parc.reg.“C“ parc.č. 8399/259 zastavaná plocha a nádvorie, zapís. na LV č. 6612,</w:t>
      </w:r>
      <w:r w:rsidR="00A4337D" w:rsidRPr="00C4284D">
        <w:rPr>
          <w:rFonts w:ascii="Arial" w:hAnsi="Arial" w:cs="Arial"/>
          <w:sz w:val="24"/>
          <w:szCs w:val="24"/>
        </w:rPr>
        <w:t xml:space="preserve"> </w:t>
      </w:r>
      <w:r w:rsidR="0020536D" w:rsidRPr="00C4284D">
        <w:rPr>
          <w:rFonts w:ascii="Arial" w:hAnsi="Arial" w:cs="Arial"/>
          <w:sz w:val="24"/>
          <w:szCs w:val="24"/>
        </w:rPr>
        <w:t>geometrickým plánom č. 6/2024 (vyhotoviteľ CS, s.r.o., Trnava), overeným Okresným úradom Trnava, katastrálnym odborom, dňa 3.9.2024 pod č. G1-720/2024, parc.č. 8400/155 s výmerou 7</w:t>
      </w:r>
      <w:r w:rsidR="008114E9" w:rsidRPr="00C4284D">
        <w:rPr>
          <w:rFonts w:ascii="Arial" w:hAnsi="Arial" w:cs="Arial"/>
          <w:sz w:val="24"/>
          <w:szCs w:val="24"/>
        </w:rPr>
        <w:t>68</w:t>
      </w:r>
      <w:r w:rsidR="0020536D" w:rsidRPr="00C4284D">
        <w:rPr>
          <w:rFonts w:ascii="Arial" w:hAnsi="Arial" w:cs="Arial"/>
          <w:sz w:val="24"/>
          <w:szCs w:val="24"/>
        </w:rPr>
        <w:t xml:space="preserve"> m</w:t>
      </w:r>
      <w:r w:rsidR="0020536D" w:rsidRPr="00C4284D">
        <w:rPr>
          <w:rFonts w:ascii="Arial" w:hAnsi="Arial" w:cs="Arial"/>
          <w:sz w:val="24"/>
          <w:szCs w:val="24"/>
          <w:vertAlign w:val="superscript"/>
        </w:rPr>
        <w:t>2</w:t>
      </w:r>
      <w:r w:rsidR="0020536D" w:rsidRPr="00C4284D">
        <w:rPr>
          <w:rFonts w:ascii="Arial" w:hAnsi="Arial" w:cs="Arial"/>
          <w:sz w:val="24"/>
          <w:szCs w:val="24"/>
        </w:rPr>
        <w:t xml:space="preserve"> a parc.č. </w:t>
      </w:r>
      <w:r w:rsidR="00A4337D" w:rsidRPr="00C4284D">
        <w:rPr>
          <w:rFonts w:ascii="Arial" w:hAnsi="Arial" w:cs="Arial"/>
          <w:sz w:val="24"/>
          <w:szCs w:val="24"/>
        </w:rPr>
        <w:t> </w:t>
      </w:r>
      <w:r w:rsidR="0020536D" w:rsidRPr="00C4284D">
        <w:rPr>
          <w:rFonts w:ascii="Arial" w:hAnsi="Arial" w:cs="Arial"/>
          <w:sz w:val="24"/>
          <w:szCs w:val="24"/>
        </w:rPr>
        <w:t>8400/181 s výmerou 24 m</w:t>
      </w:r>
      <w:r w:rsidR="0020536D" w:rsidRPr="00C4284D">
        <w:rPr>
          <w:rFonts w:ascii="Arial" w:hAnsi="Arial" w:cs="Arial"/>
          <w:sz w:val="24"/>
          <w:szCs w:val="24"/>
          <w:vertAlign w:val="superscript"/>
        </w:rPr>
        <w:t>2</w:t>
      </w:r>
      <w:r w:rsidR="0020536D" w:rsidRPr="00C4284D">
        <w:rPr>
          <w:rFonts w:ascii="Arial" w:hAnsi="Arial" w:cs="Arial"/>
          <w:sz w:val="24"/>
          <w:szCs w:val="24"/>
        </w:rPr>
        <w:t>, oddelených z pozemku parc.reg.“C“ parc.č. 8400/155 orná pôda, zapísaného na LV č. 6613, geometrickým plánom č. 7/2024 (vyhotoviteľ CS, s.r.o., Trnava), overeným Okresným úradom Trnava, katastrálnym odborom dňa 4.9.2024 pod č. G1-740/2024,</w:t>
      </w:r>
      <w:r w:rsidR="0020536D" w:rsidRPr="00C4284D">
        <w:rPr>
          <w:rFonts w:ascii="Arial" w:hAnsi="Arial" w:cs="Arial"/>
          <w:color w:val="D86DCB"/>
          <w:sz w:val="24"/>
          <w:szCs w:val="24"/>
        </w:rPr>
        <w:t xml:space="preserve"> </w:t>
      </w:r>
      <w:r w:rsidR="0020536D" w:rsidRPr="00C4284D">
        <w:rPr>
          <w:rFonts w:ascii="Arial" w:hAnsi="Arial" w:cs="Arial"/>
          <w:sz w:val="24"/>
          <w:szCs w:val="24"/>
        </w:rPr>
        <w:t>t.j.</w:t>
      </w:r>
      <w:r w:rsidR="0020536D" w:rsidRPr="00C4284D">
        <w:rPr>
          <w:rFonts w:ascii="Arial" w:hAnsi="Arial" w:cs="Arial"/>
          <w:color w:val="D86DCB"/>
          <w:sz w:val="24"/>
          <w:szCs w:val="24"/>
        </w:rPr>
        <w:t xml:space="preserve"> </w:t>
      </w:r>
      <w:r w:rsidR="0020536D" w:rsidRPr="00C4284D">
        <w:rPr>
          <w:rFonts w:ascii="Arial" w:hAnsi="Arial" w:cs="Arial"/>
          <w:sz w:val="24"/>
          <w:szCs w:val="24"/>
        </w:rPr>
        <w:t>celkovo pozemky s výmerou 11</w:t>
      </w:r>
      <w:r w:rsidR="008114E9" w:rsidRPr="00C4284D">
        <w:rPr>
          <w:rFonts w:ascii="Arial" w:hAnsi="Arial" w:cs="Arial"/>
          <w:sz w:val="24"/>
          <w:szCs w:val="24"/>
        </w:rPr>
        <w:t>20</w:t>
      </w:r>
      <w:r w:rsidR="0020536D" w:rsidRPr="00C4284D">
        <w:rPr>
          <w:rFonts w:ascii="Arial" w:hAnsi="Arial" w:cs="Arial"/>
          <w:sz w:val="24"/>
          <w:szCs w:val="24"/>
        </w:rPr>
        <w:t xml:space="preserve"> m</w:t>
      </w:r>
      <w:r w:rsidR="0020536D" w:rsidRPr="00C4284D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="0020536D" w:rsidRPr="00C4284D">
        <w:rPr>
          <w:rFonts w:ascii="Arial" w:hAnsi="Arial" w:cs="Arial"/>
          <w:sz w:val="24"/>
          <w:szCs w:val="24"/>
        </w:rPr>
        <w:t>, ktorých všeobecná hodnota bola stanovená znaleckým posudkom č. 64/2024 zo dňa 24.10.2024 vyhotoveným Ing. Jánom Miklánkom, znalcom v odbore Stavebníctvo, odvetvie Odhad hodnoty nehnuteľností, na 84.100,- eur do vlastníctva Mesta Trnava</w:t>
      </w:r>
      <w:r w:rsidR="007B01EB" w:rsidRPr="00C4284D">
        <w:rPr>
          <w:rFonts w:ascii="Arial" w:hAnsi="Arial" w:cs="Arial"/>
          <w:sz w:val="24"/>
          <w:szCs w:val="24"/>
        </w:rPr>
        <w:t xml:space="preserve">, </w:t>
      </w:r>
      <w:r w:rsidR="007B01EB" w:rsidRPr="00AE0692">
        <w:rPr>
          <w:rStyle w:val="CharStyle11"/>
          <w:rFonts w:ascii="Arial" w:eastAsia="Calibri" w:hAnsi="Arial" w:cs="Arial"/>
          <w:b w:val="0"/>
          <w:bCs w:val="0"/>
          <w:color w:val="auto"/>
        </w:rPr>
        <w:t>Hlavná 1, 917 71 Trnava, IČO 00 313 114</w:t>
      </w:r>
      <w:r w:rsidR="0020536D" w:rsidRPr="00C4284D">
        <w:rPr>
          <w:rFonts w:ascii="Arial" w:hAnsi="Arial" w:cs="Arial"/>
          <w:sz w:val="24"/>
          <w:szCs w:val="24"/>
        </w:rPr>
        <w:t>.</w:t>
      </w:r>
      <w:r w:rsidR="0020536D" w:rsidRPr="00C4284D">
        <w:rPr>
          <w:rFonts w:ascii="Arial" w:hAnsi="Arial" w:cs="Arial"/>
          <w:color w:val="D86DCB"/>
          <w:sz w:val="24"/>
          <w:szCs w:val="24"/>
        </w:rPr>
        <w:t xml:space="preserve"> </w:t>
      </w:r>
      <w:r w:rsidR="0020536D" w:rsidRPr="00C4284D">
        <w:rPr>
          <w:rFonts w:ascii="Arial" w:hAnsi="Arial" w:cs="Arial"/>
          <w:sz w:val="24"/>
          <w:szCs w:val="24"/>
        </w:rPr>
        <w:t xml:space="preserve">Zámena sa uskutoční po nadobudnutí právoplatnosti kolaudačného rozhodnutia na </w:t>
      </w:r>
      <w:r w:rsidR="0020536D" w:rsidRPr="00C4284D">
        <w:rPr>
          <w:rFonts w:ascii="Arial" w:hAnsi="Arial" w:cs="Arial"/>
          <w:sz w:val="24"/>
          <w:szCs w:val="24"/>
        </w:rPr>
        <w:lastRenderedPageBreak/>
        <w:t>stavebný objekt OK 40 v rámci stavby „Prepojovacia komunikácia Bratislavská</w:t>
      </w:r>
      <w:r w:rsidR="00560360">
        <w:rPr>
          <w:rFonts w:ascii="Arial" w:hAnsi="Arial" w:cs="Arial"/>
          <w:sz w:val="24"/>
          <w:szCs w:val="24"/>
        </w:rPr>
        <w:t xml:space="preserve"> </w:t>
      </w:r>
      <w:r w:rsidR="0020536D" w:rsidRPr="00C4284D">
        <w:rPr>
          <w:rFonts w:ascii="Arial" w:hAnsi="Arial" w:cs="Arial"/>
          <w:sz w:val="24"/>
          <w:szCs w:val="24"/>
        </w:rPr>
        <w:t>-</w:t>
      </w:r>
      <w:r w:rsidR="00560360">
        <w:rPr>
          <w:rFonts w:ascii="Arial" w:hAnsi="Arial" w:cs="Arial"/>
          <w:sz w:val="24"/>
          <w:szCs w:val="24"/>
        </w:rPr>
        <w:t xml:space="preserve"> </w:t>
      </w:r>
      <w:r w:rsidR="0020536D" w:rsidRPr="00C4284D">
        <w:rPr>
          <w:rFonts w:ascii="Arial" w:hAnsi="Arial" w:cs="Arial"/>
          <w:sz w:val="24"/>
          <w:szCs w:val="24"/>
        </w:rPr>
        <w:t xml:space="preserve">Nerudova, verejná dopravná a technická infraštruktúra prepojovacej komunikácie; bez </w:t>
      </w:r>
      <w:r w:rsidR="007B01EB" w:rsidRPr="00C4284D">
        <w:rPr>
          <w:rFonts w:ascii="Arial" w:hAnsi="Arial" w:cs="Arial"/>
          <w:sz w:val="24"/>
          <w:szCs w:val="24"/>
        </w:rPr>
        <w:t xml:space="preserve">finančného </w:t>
      </w:r>
      <w:r w:rsidR="0020536D" w:rsidRPr="00C4284D">
        <w:rPr>
          <w:rFonts w:ascii="Arial" w:hAnsi="Arial" w:cs="Arial"/>
          <w:sz w:val="24"/>
          <w:szCs w:val="24"/>
        </w:rPr>
        <w:t>doplatku žiadnej zo strán, t.j. hodnota nehnuteľností bude považovaná za rovnakú.</w:t>
      </w:r>
    </w:p>
    <w:p w14:paraId="3BE4E91F" w14:textId="07C51F24" w:rsidR="0020536D" w:rsidRPr="00C4284D" w:rsidRDefault="0020536D" w:rsidP="00A4337D">
      <w:pPr>
        <w:pStyle w:val="Hlavika"/>
        <w:tabs>
          <w:tab w:val="clear" w:pos="4536"/>
          <w:tab w:val="clear" w:pos="9072"/>
          <w:tab w:val="left" w:pos="0"/>
        </w:tabs>
        <w:spacing w:before="160" w:after="160" w:line="360" w:lineRule="auto"/>
        <w:jc w:val="both"/>
        <w:rPr>
          <w:rFonts w:ascii="Arial" w:hAnsi="Arial" w:cs="Arial"/>
        </w:rPr>
      </w:pPr>
      <w:r w:rsidRPr="00C4284D">
        <w:rPr>
          <w:rFonts w:ascii="Arial" w:hAnsi="Arial" w:cs="Arial"/>
        </w:rPr>
        <w:t>Dôvod hodný osobitného zreteľa v zmysle § 9a ods. 15 písm. f) zákona</w:t>
      </w:r>
      <w:r w:rsidRPr="00C4284D">
        <w:rPr>
          <w:rFonts w:ascii="Arial" w:hAnsi="Arial" w:cs="Arial"/>
        </w:rPr>
        <w:br/>
        <w:t>č. 138/1991 Zb. o majetku obcí v znení neskorších predpisov a v zmysle § 5 ods. 2 písm. d) Zásad hospodárenia a nakladania s majetkom Mesta a s majetkom štátu, ktorý Mesto užíva spočíva v tom, že ide prevod majetku mesta pri ktorom sa podporí všeobecne akceptovateľný verejnoprospešný účel, ktorým je vybudovanie okružnej križovatky OK 40 na ceste č. I/61 vo vlastníctve SR-Slovenská správa ciest, v rámci stavby „Prepojovacia komunikácia Bratislavská</w:t>
      </w:r>
      <w:r w:rsidR="00560360">
        <w:rPr>
          <w:rFonts w:ascii="Arial" w:hAnsi="Arial" w:cs="Arial"/>
        </w:rPr>
        <w:t xml:space="preserve"> </w:t>
      </w:r>
      <w:r w:rsidRPr="00C4284D">
        <w:rPr>
          <w:rFonts w:ascii="Arial" w:hAnsi="Arial" w:cs="Arial"/>
        </w:rPr>
        <w:t>-</w:t>
      </w:r>
      <w:r w:rsidR="00560360">
        <w:rPr>
          <w:rFonts w:ascii="Arial" w:hAnsi="Arial" w:cs="Arial"/>
        </w:rPr>
        <w:t xml:space="preserve"> </w:t>
      </w:r>
      <w:r w:rsidRPr="00C4284D">
        <w:rPr>
          <w:rFonts w:ascii="Arial" w:hAnsi="Arial" w:cs="Arial"/>
        </w:rPr>
        <w:t>Nerudova, verejná dopravná a technická infraštruktúra prepojovacej komunikácie“, pričom investorom stavby je L REAL, s.r.o.</w:t>
      </w:r>
      <w:r w:rsidR="007B01EB" w:rsidRPr="00C4284D">
        <w:rPr>
          <w:rFonts w:ascii="Arial" w:hAnsi="Arial" w:cs="Arial"/>
        </w:rPr>
        <w:t xml:space="preserve"> </w:t>
      </w:r>
      <w:r w:rsidRPr="00C4284D">
        <w:rPr>
          <w:rFonts w:ascii="Arial" w:hAnsi="Arial" w:cs="Arial"/>
        </w:rPr>
        <w:t>Návrh na vklad zámennej zmluvy do katastra nehnuteľností podá a poplatky s tým spojené uhradí Mesto Trnava.</w:t>
      </w:r>
    </w:p>
    <w:bookmarkEnd w:id="0"/>
    <w:p w14:paraId="7F0DDA92" w14:textId="385A9F30" w:rsidR="006C2847" w:rsidRPr="00C4284D" w:rsidRDefault="00D5036B" w:rsidP="00A4337D">
      <w:pPr>
        <w:spacing w:before="160" w:line="360" w:lineRule="auto"/>
        <w:jc w:val="both"/>
        <w:rPr>
          <w:rFonts w:ascii="Arial" w:hAnsi="Arial" w:cs="Arial"/>
          <w:sz w:val="24"/>
          <w:szCs w:val="24"/>
        </w:rPr>
      </w:pPr>
      <w:r w:rsidRPr="00C4284D">
        <w:rPr>
          <w:rFonts w:ascii="Arial" w:hAnsi="Arial" w:cs="Arial"/>
          <w:sz w:val="24"/>
          <w:szCs w:val="24"/>
        </w:rPr>
        <w:t xml:space="preserve">Návrh na schválenie </w:t>
      </w:r>
      <w:r w:rsidR="0020536D" w:rsidRPr="00C4284D">
        <w:rPr>
          <w:rFonts w:ascii="Arial" w:hAnsi="Arial" w:cs="Arial"/>
          <w:sz w:val="24"/>
          <w:szCs w:val="24"/>
        </w:rPr>
        <w:t>prevodu</w:t>
      </w:r>
      <w:r w:rsidR="00800299" w:rsidRPr="00C4284D">
        <w:rPr>
          <w:rFonts w:ascii="Arial" w:hAnsi="Arial" w:cs="Arial"/>
          <w:sz w:val="24"/>
          <w:szCs w:val="24"/>
        </w:rPr>
        <w:t xml:space="preserve"> majetku mesta formou zámeny nehnuteľností </w:t>
      </w:r>
      <w:r w:rsidR="0020536D" w:rsidRPr="00C4284D">
        <w:rPr>
          <w:rFonts w:ascii="Arial" w:hAnsi="Arial" w:cs="Arial"/>
          <w:sz w:val="24"/>
          <w:szCs w:val="24"/>
        </w:rPr>
        <w:t>bez</w:t>
      </w:r>
      <w:r w:rsidR="00A4337D" w:rsidRPr="00C4284D">
        <w:rPr>
          <w:rFonts w:ascii="Arial" w:hAnsi="Arial" w:cs="Arial"/>
          <w:sz w:val="24"/>
          <w:szCs w:val="24"/>
        </w:rPr>
        <w:t xml:space="preserve"> </w:t>
      </w:r>
      <w:r w:rsidR="00800299" w:rsidRPr="00C4284D">
        <w:rPr>
          <w:rFonts w:ascii="Arial" w:hAnsi="Arial" w:cs="Arial"/>
          <w:sz w:val="24"/>
          <w:szCs w:val="24"/>
        </w:rPr>
        <w:t>finančn</w:t>
      </w:r>
      <w:r w:rsidR="0020536D" w:rsidRPr="00C4284D">
        <w:rPr>
          <w:rFonts w:ascii="Arial" w:hAnsi="Arial" w:cs="Arial"/>
          <w:sz w:val="24"/>
          <w:szCs w:val="24"/>
        </w:rPr>
        <w:t>ého</w:t>
      </w:r>
      <w:r w:rsidR="00800299" w:rsidRPr="00C4284D">
        <w:rPr>
          <w:rFonts w:ascii="Arial" w:hAnsi="Arial" w:cs="Arial"/>
          <w:sz w:val="24"/>
          <w:szCs w:val="24"/>
        </w:rPr>
        <w:t xml:space="preserve"> vyrovnan</w:t>
      </w:r>
      <w:r w:rsidR="0020536D" w:rsidRPr="00C4284D">
        <w:rPr>
          <w:rFonts w:ascii="Arial" w:hAnsi="Arial" w:cs="Arial"/>
          <w:sz w:val="24"/>
          <w:szCs w:val="24"/>
        </w:rPr>
        <w:t>ia,</w:t>
      </w:r>
      <w:r w:rsidR="00A4337D" w:rsidRPr="00C4284D">
        <w:rPr>
          <w:rFonts w:ascii="Arial" w:hAnsi="Arial" w:cs="Arial"/>
          <w:sz w:val="24"/>
          <w:szCs w:val="24"/>
        </w:rPr>
        <w:t xml:space="preserve"> </w:t>
      </w:r>
      <w:r w:rsidR="00800299" w:rsidRPr="00C4284D">
        <w:rPr>
          <w:rFonts w:ascii="Arial" w:hAnsi="Arial" w:cs="Arial"/>
          <w:sz w:val="24"/>
          <w:szCs w:val="24"/>
        </w:rPr>
        <w:t>z</w:t>
      </w:r>
      <w:r w:rsidR="006C2847" w:rsidRPr="00C4284D">
        <w:rPr>
          <w:rFonts w:ascii="Arial" w:hAnsi="Arial" w:cs="Arial"/>
          <w:sz w:val="24"/>
          <w:szCs w:val="24"/>
        </w:rPr>
        <w:t> dôvodu hodného osobitného zreteľa</w:t>
      </w:r>
      <w:r w:rsidR="0020536D" w:rsidRPr="00C4284D">
        <w:rPr>
          <w:rFonts w:ascii="Arial" w:hAnsi="Arial" w:cs="Arial"/>
          <w:sz w:val="24"/>
          <w:szCs w:val="24"/>
        </w:rPr>
        <w:t>,</w:t>
      </w:r>
      <w:r w:rsidR="006C2847" w:rsidRPr="00C4284D">
        <w:rPr>
          <w:rFonts w:ascii="Arial" w:hAnsi="Arial" w:cs="Arial"/>
          <w:sz w:val="24"/>
          <w:szCs w:val="24"/>
        </w:rPr>
        <w:t xml:space="preserve"> </w:t>
      </w:r>
      <w:r w:rsidRPr="00C4284D">
        <w:rPr>
          <w:rFonts w:ascii="Arial" w:hAnsi="Arial" w:cs="Arial"/>
          <w:sz w:val="24"/>
          <w:szCs w:val="24"/>
        </w:rPr>
        <w:t>v zmysle vyššie uvedeného</w:t>
      </w:r>
      <w:r w:rsidR="00B20A5F" w:rsidRPr="00C4284D">
        <w:rPr>
          <w:rFonts w:ascii="Arial" w:hAnsi="Arial" w:cs="Arial"/>
          <w:sz w:val="24"/>
          <w:szCs w:val="24"/>
        </w:rPr>
        <w:t xml:space="preserve"> textu</w:t>
      </w:r>
      <w:r w:rsidR="0020536D" w:rsidRPr="00C4284D">
        <w:rPr>
          <w:rFonts w:ascii="Arial" w:hAnsi="Arial" w:cs="Arial"/>
          <w:sz w:val="24"/>
          <w:szCs w:val="24"/>
        </w:rPr>
        <w:t>,</w:t>
      </w:r>
      <w:r w:rsidRPr="00C4284D">
        <w:rPr>
          <w:rFonts w:ascii="Arial" w:hAnsi="Arial" w:cs="Arial"/>
          <w:sz w:val="24"/>
          <w:szCs w:val="24"/>
        </w:rPr>
        <w:t xml:space="preserve"> bude predložený na zasadnutie Mestského zastupiteľstva mesta Trnava dňa </w:t>
      </w:r>
      <w:r w:rsidR="0020536D" w:rsidRPr="00C4284D">
        <w:rPr>
          <w:rFonts w:ascii="Arial" w:hAnsi="Arial" w:cs="Arial"/>
          <w:sz w:val="24"/>
          <w:szCs w:val="24"/>
        </w:rPr>
        <w:t>10.1</w:t>
      </w:r>
      <w:r w:rsidR="008114E9" w:rsidRPr="00C4284D">
        <w:rPr>
          <w:rFonts w:ascii="Arial" w:hAnsi="Arial" w:cs="Arial"/>
          <w:sz w:val="24"/>
          <w:szCs w:val="24"/>
        </w:rPr>
        <w:t>1</w:t>
      </w:r>
      <w:r w:rsidR="006C2847" w:rsidRPr="00C4284D">
        <w:rPr>
          <w:rFonts w:ascii="Arial" w:hAnsi="Arial" w:cs="Arial"/>
          <w:sz w:val="24"/>
          <w:szCs w:val="24"/>
        </w:rPr>
        <w:t>.202</w:t>
      </w:r>
      <w:r w:rsidR="008114E9" w:rsidRPr="00C4284D">
        <w:rPr>
          <w:rFonts w:ascii="Arial" w:hAnsi="Arial" w:cs="Arial"/>
          <w:sz w:val="24"/>
          <w:szCs w:val="24"/>
        </w:rPr>
        <w:t>6</w:t>
      </w:r>
      <w:r w:rsidR="006C2847" w:rsidRPr="00C4284D">
        <w:rPr>
          <w:rFonts w:ascii="Arial" w:hAnsi="Arial" w:cs="Arial"/>
          <w:sz w:val="24"/>
          <w:szCs w:val="24"/>
        </w:rPr>
        <w:t>,</w:t>
      </w:r>
      <w:r w:rsidRPr="00C4284D">
        <w:rPr>
          <w:rFonts w:ascii="Arial" w:hAnsi="Arial" w:cs="Arial"/>
          <w:sz w:val="24"/>
          <w:szCs w:val="24"/>
        </w:rPr>
        <w:t xml:space="preserve"> ktoré</w:t>
      </w:r>
      <w:r w:rsidR="006C2847" w:rsidRPr="00C4284D">
        <w:rPr>
          <w:rFonts w:ascii="Arial" w:hAnsi="Arial" w:cs="Arial"/>
          <w:sz w:val="24"/>
          <w:szCs w:val="24"/>
        </w:rPr>
        <w:t xml:space="preserve"> </w:t>
      </w:r>
      <w:r w:rsidR="00E8015C" w:rsidRPr="00C4284D">
        <w:rPr>
          <w:rFonts w:ascii="Arial" w:hAnsi="Arial" w:cs="Arial"/>
          <w:sz w:val="24"/>
          <w:szCs w:val="24"/>
        </w:rPr>
        <w:t xml:space="preserve">rozhodne </w:t>
      </w:r>
      <w:r w:rsidR="006C2847" w:rsidRPr="00C4284D">
        <w:rPr>
          <w:rFonts w:ascii="Arial" w:hAnsi="Arial" w:cs="Arial"/>
          <w:sz w:val="24"/>
          <w:szCs w:val="24"/>
        </w:rPr>
        <w:t>o</w:t>
      </w:r>
      <w:r w:rsidR="00E8015C" w:rsidRPr="00C4284D">
        <w:rPr>
          <w:rFonts w:ascii="Arial" w:hAnsi="Arial" w:cs="Arial"/>
          <w:sz w:val="24"/>
          <w:szCs w:val="24"/>
        </w:rPr>
        <w:t> nakladaní s majetkom mesta v zmysle zverejneného zámeru</w:t>
      </w:r>
      <w:r w:rsidR="007B01EB" w:rsidRPr="00C4284D">
        <w:rPr>
          <w:rFonts w:ascii="Arial" w:hAnsi="Arial" w:cs="Arial"/>
          <w:sz w:val="24"/>
          <w:szCs w:val="24"/>
        </w:rPr>
        <w:t xml:space="preserve"> trojpätinovou väčšinou všetkých poslancov.</w:t>
      </w:r>
    </w:p>
    <w:p w14:paraId="7DF8CDA3" w14:textId="3384A948" w:rsidR="000E4E9F" w:rsidRPr="00C4284D" w:rsidRDefault="000E4E9F" w:rsidP="00A4337D">
      <w:pPr>
        <w:spacing w:before="160" w:line="360" w:lineRule="auto"/>
        <w:jc w:val="both"/>
        <w:rPr>
          <w:rFonts w:ascii="Arial" w:hAnsi="Arial" w:cs="Arial"/>
          <w:sz w:val="24"/>
          <w:szCs w:val="24"/>
        </w:rPr>
      </w:pPr>
      <w:r w:rsidRPr="00C4284D">
        <w:rPr>
          <w:rFonts w:ascii="Arial" w:hAnsi="Arial" w:cs="Arial"/>
          <w:sz w:val="24"/>
          <w:szCs w:val="24"/>
        </w:rPr>
        <w:t xml:space="preserve">V Trnave dňa </w:t>
      </w:r>
      <w:r w:rsidR="0020536D" w:rsidRPr="00C4284D">
        <w:rPr>
          <w:rFonts w:ascii="Arial" w:hAnsi="Arial" w:cs="Arial"/>
          <w:sz w:val="24"/>
          <w:szCs w:val="24"/>
        </w:rPr>
        <w:t>21</w:t>
      </w:r>
      <w:r w:rsidRPr="00C4284D">
        <w:rPr>
          <w:rFonts w:ascii="Arial" w:hAnsi="Arial" w:cs="Arial"/>
          <w:sz w:val="24"/>
          <w:szCs w:val="24"/>
        </w:rPr>
        <w:t>.</w:t>
      </w:r>
      <w:r w:rsidR="0020536D" w:rsidRPr="00C4284D">
        <w:rPr>
          <w:rFonts w:ascii="Arial" w:hAnsi="Arial" w:cs="Arial"/>
          <w:sz w:val="24"/>
          <w:szCs w:val="24"/>
        </w:rPr>
        <w:t>1</w:t>
      </w:r>
      <w:r w:rsidR="00750C7C" w:rsidRPr="00C4284D">
        <w:rPr>
          <w:rFonts w:ascii="Arial" w:hAnsi="Arial" w:cs="Arial"/>
          <w:sz w:val="24"/>
          <w:szCs w:val="24"/>
        </w:rPr>
        <w:t>0</w:t>
      </w:r>
      <w:r w:rsidRPr="00C4284D">
        <w:rPr>
          <w:rFonts w:ascii="Arial" w:hAnsi="Arial" w:cs="Arial"/>
          <w:sz w:val="24"/>
          <w:szCs w:val="24"/>
        </w:rPr>
        <w:t>.202</w:t>
      </w:r>
      <w:r w:rsidR="00750C7C" w:rsidRPr="00C4284D">
        <w:rPr>
          <w:rFonts w:ascii="Arial" w:hAnsi="Arial" w:cs="Arial"/>
          <w:sz w:val="24"/>
          <w:szCs w:val="24"/>
        </w:rPr>
        <w:t>6</w:t>
      </w:r>
    </w:p>
    <w:p w14:paraId="46DE3CC5" w14:textId="34912682" w:rsidR="00D5036B" w:rsidRDefault="000E4E9F" w:rsidP="00A4337D">
      <w:pPr>
        <w:spacing w:before="160" w:line="360" w:lineRule="auto"/>
        <w:jc w:val="both"/>
        <w:rPr>
          <w:rFonts w:ascii="Arial" w:hAnsi="Arial" w:cs="Arial"/>
          <w:sz w:val="24"/>
          <w:szCs w:val="24"/>
        </w:rPr>
      </w:pPr>
      <w:r w:rsidRPr="00C4284D">
        <w:rPr>
          <w:rFonts w:ascii="Arial" w:hAnsi="Arial" w:cs="Arial"/>
          <w:sz w:val="24"/>
          <w:szCs w:val="24"/>
        </w:rPr>
        <w:t>Spracoval</w:t>
      </w:r>
      <w:r w:rsidR="0020536D" w:rsidRPr="00C4284D">
        <w:rPr>
          <w:rFonts w:ascii="Arial" w:hAnsi="Arial" w:cs="Arial"/>
          <w:sz w:val="24"/>
          <w:szCs w:val="24"/>
        </w:rPr>
        <w:t>a: Ing. Monika Tökölyová, odbor majetkový MsÚ</w:t>
      </w:r>
    </w:p>
    <w:p w14:paraId="1A608977" w14:textId="428B2D85" w:rsidR="004E7AB2" w:rsidRPr="00C4284D" w:rsidRDefault="004E7AB2" w:rsidP="00A4337D">
      <w:pPr>
        <w:spacing w:before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Zverejnené v období 21.10.2026 – 10.11.2026 vrátane.</w:t>
      </w:r>
    </w:p>
    <w:sectPr w:rsidR="004E7AB2" w:rsidRPr="00C4284D" w:rsidSect="00A4337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61E13"/>
    <w:multiLevelType w:val="hybridMultilevel"/>
    <w:tmpl w:val="DEC0F666"/>
    <w:numStyleLink w:val="Importovantl2"/>
  </w:abstractNum>
  <w:abstractNum w:abstractNumId="1" w15:restartNumberingAfterBreak="0">
    <w:nsid w:val="160F741E"/>
    <w:multiLevelType w:val="hybridMultilevel"/>
    <w:tmpl w:val="DEC0F666"/>
    <w:styleLink w:val="Importovantl2"/>
    <w:lvl w:ilvl="0" w:tplc="689A4BF6">
      <w:start w:val="1"/>
      <w:numFmt w:val="bullet"/>
      <w:lvlText w:val="-"/>
      <w:lvlJc w:val="left"/>
      <w:pPr>
        <w:ind w:left="679" w:hanging="31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7A5A4ACA">
      <w:start w:val="1"/>
      <w:numFmt w:val="bullet"/>
      <w:lvlText w:val="o"/>
      <w:lvlJc w:val="left"/>
      <w:pPr>
        <w:ind w:left="1388" w:hanging="3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808E67B2">
      <w:start w:val="1"/>
      <w:numFmt w:val="bullet"/>
      <w:lvlText w:val="▪"/>
      <w:lvlJc w:val="left"/>
      <w:pPr>
        <w:ind w:left="2097" w:hanging="29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7C92721E">
      <w:start w:val="1"/>
      <w:numFmt w:val="bullet"/>
      <w:lvlText w:val="•"/>
      <w:lvlJc w:val="left"/>
      <w:pPr>
        <w:ind w:left="2806" w:hanging="28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4724A92A">
      <w:start w:val="1"/>
      <w:numFmt w:val="bullet"/>
      <w:lvlText w:val="o"/>
      <w:lvlJc w:val="left"/>
      <w:pPr>
        <w:ind w:left="3515" w:hanging="275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250A4E8C">
      <w:start w:val="1"/>
      <w:numFmt w:val="bullet"/>
      <w:lvlText w:val="▪"/>
      <w:lvlJc w:val="left"/>
      <w:pPr>
        <w:ind w:left="4224" w:hanging="26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BB427D3E">
      <w:start w:val="1"/>
      <w:numFmt w:val="bullet"/>
      <w:lvlText w:val="•"/>
      <w:lvlJc w:val="left"/>
      <w:pPr>
        <w:ind w:left="4933" w:hanging="25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14BE0B90">
      <w:start w:val="1"/>
      <w:numFmt w:val="bullet"/>
      <w:lvlText w:val="o"/>
      <w:lvlJc w:val="left"/>
      <w:pPr>
        <w:ind w:left="5642" w:hanging="24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E9A03330">
      <w:start w:val="1"/>
      <w:numFmt w:val="bullet"/>
      <w:lvlText w:val="▪"/>
      <w:lvlJc w:val="left"/>
      <w:pPr>
        <w:ind w:left="6351" w:hanging="23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" w15:restartNumberingAfterBreak="0">
    <w:nsid w:val="388218EB"/>
    <w:multiLevelType w:val="hybridMultilevel"/>
    <w:tmpl w:val="5B8EED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1D48D2"/>
    <w:multiLevelType w:val="hybridMultilevel"/>
    <w:tmpl w:val="96CC8054"/>
    <w:lvl w:ilvl="0" w:tplc="3BFCB47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C35114"/>
    <w:multiLevelType w:val="hybridMultilevel"/>
    <w:tmpl w:val="022A6E1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56559A"/>
    <w:multiLevelType w:val="hybridMultilevel"/>
    <w:tmpl w:val="3F6A586E"/>
    <w:lvl w:ilvl="0" w:tplc="4FE0AEE6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9E2CB8"/>
    <w:multiLevelType w:val="hybridMultilevel"/>
    <w:tmpl w:val="86D2A796"/>
    <w:lvl w:ilvl="0" w:tplc="CC00DB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B4379"/>
    <w:multiLevelType w:val="hybridMultilevel"/>
    <w:tmpl w:val="6FB02518"/>
    <w:lvl w:ilvl="0" w:tplc="1A8E237A">
      <w:start w:val="1"/>
      <w:numFmt w:val="upperLetter"/>
      <w:pStyle w:val="RecitalsCtrlShiftRE"/>
      <w:lvlText w:val="(%1)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23E2D93"/>
    <w:multiLevelType w:val="hybridMultilevel"/>
    <w:tmpl w:val="B8DC88C8"/>
    <w:lvl w:ilvl="0" w:tplc="AECEC27C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4B5618"/>
    <w:multiLevelType w:val="multilevel"/>
    <w:tmpl w:val="65A846FE"/>
    <w:lvl w:ilvl="0">
      <w:start w:val="1"/>
      <w:numFmt w:val="decimal"/>
      <w:pStyle w:val="Level1CtrlShiftL1"/>
      <w:lvlText w:val="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9"/>
      </w:rPr>
    </w:lvl>
    <w:lvl w:ilvl="1">
      <w:start w:val="1"/>
      <w:numFmt w:val="decimal"/>
      <w:pStyle w:val="Level2CtrlShiftL2"/>
      <w:lvlText w:val="%1.%2"/>
      <w:lvlJc w:val="left"/>
      <w:pPr>
        <w:tabs>
          <w:tab w:val="num" w:pos="1390"/>
        </w:tabs>
        <w:ind w:left="1390" w:hanging="680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Level3CtrlShiftL3"/>
      <w:lvlText w:val="%1.%2.%3"/>
      <w:lvlJc w:val="left"/>
      <w:pPr>
        <w:tabs>
          <w:tab w:val="num" w:pos="2041"/>
        </w:tabs>
        <w:ind w:left="2041" w:hanging="794"/>
      </w:pPr>
      <w:rPr>
        <w:rFonts w:ascii="Verdana" w:hAnsi="Verdana" w:hint="default"/>
        <w:b/>
        <w:i w:val="0"/>
        <w:sz w:val="18"/>
      </w:rPr>
    </w:lvl>
    <w:lvl w:ilvl="3">
      <w:start w:val="1"/>
      <w:numFmt w:val="lowerRoman"/>
      <w:pStyle w:val="Level4CtrlShiftL4"/>
      <w:lvlText w:val="(%4)"/>
      <w:lvlJc w:val="left"/>
      <w:pPr>
        <w:tabs>
          <w:tab w:val="num" w:pos="2722"/>
        </w:tabs>
        <w:ind w:left="2722" w:hanging="681"/>
      </w:pPr>
      <w:rPr>
        <w:rFonts w:ascii="Verdana" w:hAnsi="Verdana" w:hint="default"/>
        <w:sz w:val="18"/>
      </w:rPr>
    </w:lvl>
    <w:lvl w:ilvl="4">
      <w:start w:val="1"/>
      <w:numFmt w:val="lowerLetter"/>
      <w:pStyle w:val="Level5CtrlShiftL5"/>
      <w:lvlText w:val="(%5)"/>
      <w:lvlJc w:val="left"/>
      <w:pPr>
        <w:tabs>
          <w:tab w:val="num" w:pos="3289"/>
        </w:tabs>
        <w:ind w:left="3289" w:hanging="567"/>
      </w:pPr>
      <w:rPr>
        <w:rFonts w:ascii="Verdana" w:hAnsi="Verdana" w:hint="default"/>
        <w:sz w:val="18"/>
      </w:rPr>
    </w:lvl>
    <w:lvl w:ilvl="5">
      <w:start w:val="1"/>
      <w:numFmt w:val="upperRoman"/>
      <w:pStyle w:val="Level6CtrlShiftL6"/>
      <w:lvlText w:val="(%6)"/>
      <w:lvlJc w:val="left"/>
      <w:pPr>
        <w:tabs>
          <w:tab w:val="num" w:pos="3969"/>
        </w:tabs>
        <w:ind w:left="3969" w:hanging="680"/>
      </w:pPr>
      <w:rPr>
        <w:rFonts w:ascii="Verdana" w:hAnsi="Verdana" w:hint="default"/>
        <w:sz w:val="18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</w:abstractNum>
  <w:num w:numId="1" w16cid:durableId="1324897602">
    <w:abstractNumId w:val="6"/>
  </w:num>
  <w:num w:numId="2" w16cid:durableId="1920869196">
    <w:abstractNumId w:val="7"/>
  </w:num>
  <w:num w:numId="3" w16cid:durableId="1458640349">
    <w:abstractNumId w:val="3"/>
  </w:num>
  <w:num w:numId="4" w16cid:durableId="1912735547">
    <w:abstractNumId w:val="4"/>
  </w:num>
  <w:num w:numId="5" w16cid:durableId="1798723560">
    <w:abstractNumId w:val="0"/>
  </w:num>
  <w:num w:numId="6" w16cid:durableId="518811860">
    <w:abstractNumId w:val="1"/>
  </w:num>
  <w:num w:numId="7" w16cid:durableId="1446196473">
    <w:abstractNumId w:val="9"/>
  </w:num>
  <w:num w:numId="8" w16cid:durableId="463501136">
    <w:abstractNumId w:val="2"/>
  </w:num>
  <w:num w:numId="9" w16cid:durableId="1217856052">
    <w:abstractNumId w:val="5"/>
  </w:num>
  <w:num w:numId="10" w16cid:durableId="18047335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36B"/>
    <w:rsid w:val="000E4E9F"/>
    <w:rsid w:val="0016150F"/>
    <w:rsid w:val="0020362D"/>
    <w:rsid w:val="0020536D"/>
    <w:rsid w:val="00302486"/>
    <w:rsid w:val="003B4AA9"/>
    <w:rsid w:val="003D779F"/>
    <w:rsid w:val="004756E3"/>
    <w:rsid w:val="004A62D1"/>
    <w:rsid w:val="004E4D0E"/>
    <w:rsid w:val="004E7AB2"/>
    <w:rsid w:val="004F3ABB"/>
    <w:rsid w:val="00560360"/>
    <w:rsid w:val="00573CCF"/>
    <w:rsid w:val="00597A12"/>
    <w:rsid w:val="006C2847"/>
    <w:rsid w:val="00750C7C"/>
    <w:rsid w:val="007B01EB"/>
    <w:rsid w:val="007D6BEF"/>
    <w:rsid w:val="007E3D1F"/>
    <w:rsid w:val="00800299"/>
    <w:rsid w:val="008114E9"/>
    <w:rsid w:val="00865D3C"/>
    <w:rsid w:val="009252A2"/>
    <w:rsid w:val="00984CD5"/>
    <w:rsid w:val="00A107C2"/>
    <w:rsid w:val="00A4337D"/>
    <w:rsid w:val="00AE0692"/>
    <w:rsid w:val="00B20A5F"/>
    <w:rsid w:val="00B224EE"/>
    <w:rsid w:val="00BD2BFC"/>
    <w:rsid w:val="00C4284D"/>
    <w:rsid w:val="00C6698A"/>
    <w:rsid w:val="00C93727"/>
    <w:rsid w:val="00D01190"/>
    <w:rsid w:val="00D11E58"/>
    <w:rsid w:val="00D5036B"/>
    <w:rsid w:val="00D509D3"/>
    <w:rsid w:val="00DD24EE"/>
    <w:rsid w:val="00E106FA"/>
    <w:rsid w:val="00E129A6"/>
    <w:rsid w:val="00E8015C"/>
    <w:rsid w:val="00F04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F7030"/>
  <w15:chartTrackingRefBased/>
  <w15:docId w15:val="{DBB325DA-E065-4CF5-A80C-3BFF61809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50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50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503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50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503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503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503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503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503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50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50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50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5036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5036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503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503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503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5036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503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50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503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50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503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5036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5036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5036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50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5036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5036B"/>
    <w:rPr>
      <w:b/>
      <w:bCs/>
      <w:smallCaps/>
      <w:color w:val="0F4761" w:themeColor="accent1" w:themeShade="BF"/>
      <w:spacing w:val="5"/>
    </w:rPr>
  </w:style>
  <w:style w:type="paragraph" w:customStyle="1" w:styleId="RecitalsCtrlShiftRE">
    <w:name w:val="Recitals (CtrlShift R+E)"/>
    <w:basedOn w:val="Normlny"/>
    <w:rsid w:val="00800299"/>
    <w:pPr>
      <w:numPr>
        <w:numId w:val="2"/>
      </w:numPr>
      <w:spacing w:after="140" w:line="290" w:lineRule="auto"/>
      <w:jc w:val="both"/>
    </w:pPr>
    <w:rPr>
      <w:rFonts w:ascii="Calibri" w:eastAsia="Calibri" w:hAnsi="Calibri" w:cs="Times New Roman"/>
      <w:noProof/>
      <w:kern w:val="20"/>
      <w:szCs w:val="24"/>
      <w14:ligatures w14:val="none"/>
    </w:rPr>
  </w:style>
  <w:style w:type="paragraph" w:styleId="Textkomentra">
    <w:name w:val="annotation text"/>
    <w:basedOn w:val="Normlny"/>
    <w:link w:val="TextkomentraChar"/>
    <w:unhideWhenUsed/>
    <w:rsid w:val="00800299"/>
    <w:pPr>
      <w:spacing w:after="200" w:line="276" w:lineRule="auto"/>
    </w:pPr>
    <w:rPr>
      <w:rFonts w:ascii="Verdana" w:eastAsia="Calibri" w:hAnsi="Verdana" w:cs="Times New Roman"/>
      <w:kern w:val="0"/>
      <w:sz w:val="18"/>
      <w:szCs w:val="18"/>
      <w:lang w:val="en-US" w:bidi="en-US"/>
      <w14:ligatures w14:val="none"/>
    </w:rPr>
  </w:style>
  <w:style w:type="character" w:customStyle="1" w:styleId="TextkomentraChar">
    <w:name w:val="Text komentára Char"/>
    <w:basedOn w:val="Predvolenpsmoodseku"/>
    <w:link w:val="Textkomentra"/>
    <w:rsid w:val="00800299"/>
    <w:rPr>
      <w:rFonts w:ascii="Verdana" w:eastAsia="Calibri" w:hAnsi="Verdana" w:cs="Times New Roman"/>
      <w:kern w:val="0"/>
      <w:sz w:val="18"/>
      <w:szCs w:val="18"/>
      <w:lang w:val="en-US" w:bidi="en-US"/>
      <w14:ligatures w14:val="none"/>
    </w:rPr>
  </w:style>
  <w:style w:type="character" w:styleId="Odkaznakomentr">
    <w:name w:val="annotation reference"/>
    <w:rsid w:val="00800299"/>
    <w:rPr>
      <w:sz w:val="16"/>
      <w:szCs w:val="16"/>
    </w:rPr>
  </w:style>
  <w:style w:type="character" w:customStyle="1" w:styleId="ra">
    <w:name w:val="ra"/>
    <w:basedOn w:val="Predvolenpsmoodseku"/>
    <w:rsid w:val="00800299"/>
  </w:style>
  <w:style w:type="numbering" w:customStyle="1" w:styleId="Importovantl2">
    <w:name w:val="Importovaný štýl 2"/>
    <w:rsid w:val="009252A2"/>
    <w:pPr>
      <w:numPr>
        <w:numId w:val="6"/>
      </w:numPr>
    </w:pPr>
  </w:style>
  <w:style w:type="paragraph" w:customStyle="1" w:styleId="Level1CtrlShiftL1">
    <w:name w:val="Level 1 (CtrlShift L+1)"/>
    <w:basedOn w:val="Normlny"/>
    <w:next w:val="Normlny"/>
    <w:rsid w:val="009252A2"/>
    <w:pPr>
      <w:keepNext/>
      <w:numPr>
        <w:numId w:val="7"/>
      </w:numPr>
      <w:spacing w:before="60" w:after="140" w:line="290" w:lineRule="auto"/>
      <w:jc w:val="both"/>
    </w:pPr>
    <w:rPr>
      <w:rFonts w:ascii="Calibri" w:eastAsia="Calibri" w:hAnsi="Calibri" w:cs="Times New Roman"/>
      <w:b/>
      <w:noProof/>
      <w:kern w:val="20"/>
      <w:sz w:val="21"/>
      <w:szCs w:val="28"/>
      <w14:ligatures w14:val="none"/>
    </w:rPr>
  </w:style>
  <w:style w:type="paragraph" w:customStyle="1" w:styleId="Level2CtrlShiftL2">
    <w:name w:val="Level 2 (CtrlShift L+2)"/>
    <w:basedOn w:val="Normlny"/>
    <w:qFormat/>
    <w:rsid w:val="009252A2"/>
    <w:pPr>
      <w:numPr>
        <w:ilvl w:val="1"/>
        <w:numId w:val="7"/>
      </w:numPr>
      <w:spacing w:after="140" w:line="290" w:lineRule="auto"/>
      <w:jc w:val="both"/>
    </w:pPr>
    <w:rPr>
      <w:rFonts w:ascii="Verdana" w:eastAsia="Calibri" w:hAnsi="Verdana" w:cs="Times New Roman"/>
      <w:kern w:val="20"/>
      <w:sz w:val="18"/>
      <w:szCs w:val="18"/>
      <w:lang w:bidi="en-US"/>
      <w14:ligatures w14:val="none"/>
    </w:rPr>
  </w:style>
  <w:style w:type="paragraph" w:customStyle="1" w:styleId="Level3CtrlShiftL3">
    <w:name w:val="Level 3 (CtrlShift L+3)"/>
    <w:basedOn w:val="Normlny"/>
    <w:link w:val="Level3CtrlShiftL3Char"/>
    <w:qFormat/>
    <w:rsid w:val="009252A2"/>
    <w:pPr>
      <w:numPr>
        <w:ilvl w:val="2"/>
        <w:numId w:val="7"/>
      </w:numPr>
      <w:spacing w:after="140" w:line="290" w:lineRule="auto"/>
      <w:jc w:val="both"/>
    </w:pPr>
    <w:rPr>
      <w:rFonts w:ascii="Verdana" w:eastAsia="Calibri" w:hAnsi="Verdana" w:cs="Times New Roman"/>
      <w:kern w:val="20"/>
      <w:sz w:val="18"/>
      <w:szCs w:val="28"/>
      <w:lang w:bidi="en-US"/>
      <w14:ligatures w14:val="none"/>
    </w:rPr>
  </w:style>
  <w:style w:type="paragraph" w:customStyle="1" w:styleId="Level4CtrlShiftL4">
    <w:name w:val="Level 4 (CtrlShift L+4)"/>
    <w:basedOn w:val="Normlny"/>
    <w:rsid w:val="009252A2"/>
    <w:pPr>
      <w:numPr>
        <w:ilvl w:val="3"/>
        <w:numId w:val="7"/>
      </w:numPr>
      <w:spacing w:after="140" w:line="290" w:lineRule="auto"/>
      <w:jc w:val="both"/>
    </w:pPr>
    <w:rPr>
      <w:rFonts w:ascii="Calibri" w:eastAsia="Calibri" w:hAnsi="Calibri" w:cs="Times New Roman"/>
      <w:noProof/>
      <w:kern w:val="20"/>
      <w:szCs w:val="24"/>
      <w14:ligatures w14:val="none"/>
    </w:rPr>
  </w:style>
  <w:style w:type="paragraph" w:customStyle="1" w:styleId="Level5CtrlShiftL5">
    <w:name w:val="Level 5 (CtrlShift L+5)"/>
    <w:basedOn w:val="Normlny"/>
    <w:rsid w:val="009252A2"/>
    <w:pPr>
      <w:numPr>
        <w:ilvl w:val="4"/>
        <w:numId w:val="7"/>
      </w:numPr>
      <w:spacing w:after="140" w:line="290" w:lineRule="auto"/>
      <w:jc w:val="both"/>
    </w:pPr>
    <w:rPr>
      <w:rFonts w:ascii="Calibri" w:eastAsia="Calibri" w:hAnsi="Calibri" w:cs="Times New Roman"/>
      <w:noProof/>
      <w:kern w:val="20"/>
      <w:szCs w:val="24"/>
      <w14:ligatures w14:val="none"/>
    </w:rPr>
  </w:style>
  <w:style w:type="paragraph" w:customStyle="1" w:styleId="Level6CtrlShiftL6">
    <w:name w:val="Level 6 (CtrlShift L+6)"/>
    <w:basedOn w:val="Normlny"/>
    <w:rsid w:val="009252A2"/>
    <w:pPr>
      <w:numPr>
        <w:ilvl w:val="5"/>
        <w:numId w:val="7"/>
      </w:numPr>
      <w:spacing w:after="140" w:line="290" w:lineRule="auto"/>
      <w:jc w:val="both"/>
    </w:pPr>
    <w:rPr>
      <w:rFonts w:ascii="Calibri" w:eastAsia="Calibri" w:hAnsi="Calibri" w:cs="Times New Roman"/>
      <w:noProof/>
      <w:kern w:val="20"/>
      <w:szCs w:val="24"/>
      <w14:ligatures w14:val="none"/>
    </w:rPr>
  </w:style>
  <w:style w:type="character" w:customStyle="1" w:styleId="Level3CtrlShiftL3Char">
    <w:name w:val="Level 3 (CtrlShift L+3) Char"/>
    <w:link w:val="Level3CtrlShiftL3"/>
    <w:rsid w:val="009252A2"/>
    <w:rPr>
      <w:rFonts w:ascii="Verdana" w:eastAsia="Calibri" w:hAnsi="Verdana" w:cs="Times New Roman"/>
      <w:kern w:val="20"/>
      <w:sz w:val="18"/>
      <w:szCs w:val="28"/>
      <w:lang w:bidi="en-US"/>
      <w14:ligatures w14:val="none"/>
    </w:rPr>
  </w:style>
  <w:style w:type="paragraph" w:styleId="Hlavika">
    <w:name w:val="header"/>
    <w:basedOn w:val="Normlny"/>
    <w:link w:val="HlavikaChar"/>
    <w:rsid w:val="0020536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customStyle="1" w:styleId="HlavikaChar">
    <w:name w:val="Hlavička Char"/>
    <w:basedOn w:val="Predvolenpsmoodseku"/>
    <w:link w:val="Hlavika"/>
    <w:rsid w:val="0020536D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customStyle="1" w:styleId="CharStyle11">
    <w:name w:val="Char Style 11"/>
    <w:rsid w:val="002053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sk-SK" w:eastAsia="sk-SK" w:bidi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Igor Kršiak</dc:creator>
  <cp:keywords/>
  <dc:description/>
  <cp:lastModifiedBy>Monika Tökölyová</cp:lastModifiedBy>
  <cp:revision>9</cp:revision>
  <cp:lastPrinted>2024-11-22T12:30:00Z</cp:lastPrinted>
  <dcterms:created xsi:type="dcterms:W3CDTF">2026-10-21T07:20:00Z</dcterms:created>
  <dcterms:modified xsi:type="dcterms:W3CDTF">2026-10-21T11:17:00Z</dcterms:modified>
</cp:coreProperties>
</file>